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480" w:line="560" w:lineRule="exact"/>
        <w:jc w:val="center"/>
      </w:pPr>
      <w:r>
        <w:rPr>
          <w:rFonts w:ascii="方正小标宋简体" w:hAnsi="方正小标宋简体"/>
          <w:b/>
          <w:sz w:val="44"/>
        </w:rPr>
        <w:t>食品药品监管工作总结</w:t>
      </w:r>
    </w:p>
    <w:p>
      <w:pPr>
        <w:spacing w:line="560" w:lineRule="exact" w:before="0" w:after="0"/>
        <w:ind w:firstLine="839"/>
        <w:jc w:val="both"/>
      </w:pPr>
      <w:r>
        <w:rPr>
          <w:rFonts w:ascii="仿宋" w:hAnsi="仿宋"/>
          <w:sz w:val="32"/>
        </w:rPr>
        <w:t>2025年，我单位深入贯彻落实习近平总书记关于食品药品安全的重要指示批示精神，坚持人民至上、生命至上，严防严管严控食品药品安全风险，切实保障人民群众舌尖上的安全。</w:t>
      </w:r>
    </w:p>
    <w:p>
      <w:pPr>
        <w:spacing w:line="560" w:lineRule="exact" w:before="0" w:after="0"/>
        <w:ind w:firstLine="839"/>
        <w:jc w:val="both"/>
      </w:pPr>
      <w:r>
        <w:rPr>
          <w:rFonts w:ascii="仿宋" w:hAnsi="仿宋"/>
          <w:sz w:val="32"/>
        </w:rPr>
        <w:t>一、主要工作成效</w:t>
      </w:r>
    </w:p>
    <w:p>
      <w:pPr>
        <w:spacing w:line="560" w:lineRule="exact" w:before="0" w:after="0"/>
        <w:ind w:firstLine="839"/>
        <w:jc w:val="both"/>
      </w:pPr>
      <w:r>
        <w:rPr>
          <w:rFonts w:ascii="仿宋" w:hAnsi="仿宋"/>
          <w:sz w:val="32"/>
        </w:rPr>
        <w:t>（一）强化风险排查，防范安全隐患。开展食品安全风险隐患大排查大整治行动，检查食品生产经营单位500家次。开展药品医疗器械化妆品风险隐患排查，检查药械化经营使用单位200家次。排查整改食品安全隐患300处、药械化安全隐患100处。</w:t>
      </w:r>
    </w:p>
    <w:p>
      <w:pPr>
        <w:spacing w:line="560" w:lineRule="exact" w:before="0" w:after="0"/>
        <w:ind w:firstLine="839"/>
        <w:jc w:val="both"/>
      </w:pPr>
      <w:r>
        <w:rPr>
          <w:rFonts w:ascii="仿宋" w:hAnsi="仿宋"/>
          <w:sz w:val="32"/>
        </w:rPr>
        <w:t>（二）强化监管执法，打击违法行为。开展食品安全专项整治5次，查处食品违法案件50件，罚没金额50万元。开展药品医疗器械化妆品专项整治3次，查处药械化违法案件20件，罚没金额30万元。移送公安机关案件5件。</w:t>
      </w:r>
    </w:p>
    <w:p>
      <w:pPr>
        <w:spacing w:line="560" w:lineRule="exact" w:before="0" w:after="0"/>
        <w:ind w:firstLine="839"/>
        <w:jc w:val="both"/>
      </w:pPr>
      <w:r>
        <w:rPr>
          <w:rFonts w:ascii="仿宋" w:hAnsi="仿宋"/>
          <w:sz w:val="32"/>
        </w:rPr>
        <w:t>（三）强化抽检监测，把好质量关口。完成食品安全抽检监测500批次，合格率95%以上。完成药品抽检100批次，合格率98%以上。完成医疗器械抽检20批次，合格率95%以上。及时处置不合格产品核查处置15件。</w:t>
      </w:r>
    </w:p>
    <w:p>
      <w:pPr>
        <w:spacing w:line="560" w:lineRule="exact" w:before="0" w:after="0"/>
        <w:ind w:firstLine="839"/>
        <w:jc w:val="both"/>
      </w:pPr>
      <w:r>
        <w:rPr>
          <w:rFonts w:ascii="仿宋" w:hAnsi="仿宋"/>
          <w:sz w:val="32"/>
        </w:rPr>
        <w:t>（四）强化疫情防控，保障冷链安全。开展进口冷链食品疫情防控检查100家次。督促冷链食品从业人员核酸检测500人次。检查冷链食品集中监管仓10次。处置涉疫冷链食品突发事件3起。</w:t>
      </w:r>
    </w:p>
    <w:p>
      <w:pPr>
        <w:spacing w:line="560" w:lineRule="exact" w:before="0" w:after="0"/>
        <w:ind w:firstLine="839"/>
        <w:jc w:val="both"/>
      </w:pPr>
      <w:r>
        <w:rPr>
          <w:rFonts w:ascii="仿宋" w:hAnsi="仿宋"/>
          <w:sz w:val="32"/>
        </w:rPr>
        <w:t>（五）强化示范创建，引领高质量发展。深入推进食品安全示范城市创建，完成创建点位打造50个。开展餐饮质量安全提升行动，创建食品安全示范店20家。推进互联网+明厨亮灶建设，接入平台餐饮单位100家。</w:t>
      </w:r>
    </w:p>
    <w:p>
      <w:pPr>
        <w:spacing w:line="560" w:lineRule="exact" w:before="0" w:after="0"/>
        <w:ind w:firstLine="839"/>
        <w:jc w:val="both"/>
      </w:pPr>
      <w:r>
        <w:rPr>
          <w:rFonts w:ascii="仿宋" w:hAnsi="仿宋"/>
          <w:sz w:val="32"/>
        </w:rPr>
        <w:t>（六）强化科普宣传，提升安全意识。开展食品安全宣传周、安全用药月活动5场次。发放食品药品安全宣传资料1万份。举办科普讲座10场次，受教育群众2000人次。发布消费警示信息20条。</w:t>
      </w:r>
    </w:p>
    <w:p>
      <w:pPr>
        <w:spacing w:line="560" w:lineRule="exact" w:before="0" w:after="0"/>
        <w:ind w:firstLine="839"/>
        <w:jc w:val="both"/>
      </w:pPr>
      <w:r>
        <w:rPr>
          <w:rFonts w:ascii="仿宋" w:hAnsi="仿宋"/>
          <w:sz w:val="32"/>
        </w:rPr>
        <w:t>二、存在问题</w:t>
      </w:r>
    </w:p>
    <w:p>
      <w:pPr>
        <w:spacing w:line="560" w:lineRule="exact" w:before="0" w:after="0"/>
        <w:ind w:firstLine="839"/>
        <w:jc w:val="both"/>
      </w:pPr>
      <w:r>
        <w:rPr>
          <w:rFonts w:ascii="仿宋" w:hAnsi="仿宋"/>
          <w:sz w:val="32"/>
        </w:rPr>
        <w:t>（一）食品药品安全风险依然存在。</w:t>
      </w:r>
    </w:p>
    <w:p>
      <w:pPr>
        <w:spacing w:line="560" w:lineRule="exact" w:before="0" w:after="0"/>
        <w:ind w:firstLine="839"/>
        <w:jc w:val="both"/>
      </w:pPr>
      <w:r>
        <w:rPr>
          <w:rFonts w:ascii="仿宋" w:hAnsi="仿宋"/>
          <w:sz w:val="32"/>
        </w:rPr>
        <w:t>（二）基层监管能力有待提升。</w:t>
      </w:r>
    </w:p>
    <w:p>
      <w:pPr>
        <w:spacing w:line="560" w:lineRule="exact" w:before="0" w:after="0"/>
        <w:ind w:firstLine="839"/>
        <w:jc w:val="both"/>
      </w:pPr>
      <w:r>
        <w:rPr>
          <w:rFonts w:ascii="仿宋" w:hAnsi="仿宋"/>
          <w:sz w:val="32"/>
        </w:rPr>
        <w:t>（三）社会共治格局尚未完全形成。</w:t>
      </w:r>
    </w:p>
    <w:p>
      <w:pPr>
        <w:spacing w:line="560" w:lineRule="exact" w:before="0" w:after="0"/>
        <w:ind w:firstLine="839"/>
        <w:jc w:val="both"/>
      </w:pPr>
      <w:r>
        <w:rPr>
          <w:rFonts w:ascii="仿宋" w:hAnsi="仿宋"/>
          <w:sz w:val="32"/>
        </w:rPr>
        <w:t>三、下一步工作计划</w:t>
      </w:r>
    </w:p>
    <w:p>
      <w:pPr>
        <w:spacing w:line="560" w:lineRule="exact" w:before="0" w:after="0"/>
        <w:ind w:firstLine="839"/>
        <w:jc w:val="both"/>
      </w:pPr>
      <w:r>
        <w:rPr>
          <w:rFonts w:ascii="仿宋" w:hAnsi="仿宋"/>
          <w:sz w:val="32"/>
        </w:rPr>
        <w:t>（一）强化全过程监管，防范化解安全风险。</w:t>
      </w:r>
    </w:p>
    <w:p>
      <w:pPr>
        <w:spacing w:line="560" w:lineRule="exact" w:before="0" w:after="0"/>
        <w:ind w:firstLine="839"/>
        <w:jc w:val="both"/>
      </w:pPr>
      <w:r>
        <w:rPr>
          <w:rFonts w:ascii="仿宋" w:hAnsi="仿宋"/>
          <w:sz w:val="32"/>
        </w:rPr>
        <w:t>（二）加强监管能力建设，提升监管效能。</w:t>
      </w:r>
    </w:p>
    <w:p>
      <w:pPr>
        <w:spacing w:line="560" w:lineRule="exact" w:before="0" w:after="0"/>
        <w:ind w:firstLine="839"/>
        <w:jc w:val="both"/>
      </w:pPr>
      <w:r>
        <w:rPr>
          <w:rFonts w:ascii="仿宋" w:hAnsi="仿宋"/>
          <w:sz w:val="32"/>
        </w:rPr>
        <w:t>（三）推进社会共治，构建齐抓共管格局。</w:t>
      </w:r>
    </w:p>
    <w:p/>
    <w:p>
      <w:pPr>
        <w:jc w:val="right"/>
      </w:pPr>
      <w:r>
        <w:rPr>
          <w:rFonts w:ascii="仿宋" w:hAnsi="仿宋"/>
          <w:sz w:val="32"/>
        </w:rPr>
        <w:t>单位名称</w:t>
        <w:br/>
        <w:t>2025年12月31日</w:t>
      </w:r>
    </w:p>
    <w:sectPr w:rsidR="00FC693F" w:rsidRPr="0006063C" w:rsidSect="00034616">
      <w:pgSz w:w="12240" w:h="15840"/>
      <w:pgMar w:top="2098" w:right="1474" w:bottom="1984" w:left="158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